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Style w:val="8"/>
          <w:rFonts w:ascii="仿宋_GB2312" w:hAnsi="Times New Roman" w:eastAsia="仿宋_GB2312"/>
          <w:b w:val="0"/>
          <w:bCs/>
          <w:color w:val="auto"/>
          <w:sz w:val="28"/>
          <w:szCs w:val="28"/>
          <w:u w:val="none"/>
        </w:rPr>
      </w:pPr>
      <w:r>
        <w:rPr>
          <w:rStyle w:val="8"/>
          <w:rFonts w:hint="eastAsia" w:ascii="仿宋_GB2312" w:hAnsi="Times New Roman" w:eastAsia="仿宋_GB2312"/>
          <w:b w:val="0"/>
          <w:bCs/>
          <w:color w:val="auto"/>
          <w:sz w:val="28"/>
          <w:szCs w:val="28"/>
          <w:u w:val="none"/>
        </w:rPr>
        <w:t>附件4</w:t>
      </w:r>
    </w:p>
    <w:p>
      <w:pPr>
        <w:widowControl/>
        <w:spacing w:before="156" w:beforeLines="50" w:after="156" w:afterLines="50" w:line="560" w:lineRule="exact"/>
        <w:jc w:val="center"/>
        <w:rPr>
          <w:rFonts w:ascii="方正小标宋简体" w:hAnsi="宋体" w:eastAsia="方正小标宋简体" w:cs="宋体"/>
          <w:b w:val="0"/>
          <w:bCs/>
          <w:color w:val="auto"/>
          <w:kern w:val="0"/>
          <w:sz w:val="32"/>
          <w:szCs w:val="32"/>
          <w:u w:val="none"/>
        </w:rPr>
      </w:pPr>
      <w:r>
        <w:rPr>
          <w:rFonts w:hint="eastAsia" w:ascii="方正小标宋简体" w:hAnsi="宋体" w:eastAsia="方正小标宋简体" w:cs="宋体"/>
          <w:b w:val="0"/>
          <w:bCs/>
          <w:color w:val="auto"/>
          <w:kern w:val="36"/>
          <w:sz w:val="32"/>
          <w:szCs w:val="32"/>
          <w:u w:val="none"/>
        </w:rPr>
        <w:t>广东药科大学图书资料系列职称评审标准</w:t>
      </w:r>
    </w:p>
    <w:p>
      <w:pPr>
        <w:pStyle w:val="17"/>
        <w:shd w:val="clear" w:color="auto" w:fill="FFFFFF"/>
        <w:spacing w:before="50" w:beforeAutospacing="0" w:after="156" w:afterLines="50" w:afterAutospacing="0" w:line="560" w:lineRule="exact"/>
        <w:jc w:val="center"/>
        <w:rPr>
          <w:rFonts w:ascii="仿宋_GB2312" w:hAnsi="Times New Roman" w:eastAsia="仿宋_GB2312" w:cs="Times New Roman"/>
          <w:b w:val="0"/>
          <w:bCs/>
          <w:color w:val="auto"/>
          <w:sz w:val="28"/>
          <w:szCs w:val="28"/>
          <w:u w:val="none"/>
        </w:rPr>
      </w:pPr>
    </w:p>
    <w:p>
      <w:pPr>
        <w:pStyle w:val="17"/>
        <w:shd w:val="clear" w:color="auto" w:fill="FFFFFF"/>
        <w:spacing w:before="50" w:beforeAutospacing="0" w:after="156" w:afterLines="50" w:afterAutospacing="0" w:line="560" w:lineRule="exact"/>
        <w:jc w:val="center"/>
        <w:rPr>
          <w:rFonts w:ascii="仿宋_GB2312" w:hAnsi="Times New Roman" w:eastAsia="仿宋_GB2312" w:cs="Times New Roman"/>
          <w:b w:val="0"/>
          <w:bCs/>
          <w:color w:val="auto"/>
          <w:sz w:val="28"/>
          <w:szCs w:val="28"/>
          <w:u w:val="none"/>
        </w:rPr>
      </w:pPr>
      <w:r>
        <w:rPr>
          <w:rFonts w:hint="eastAsia" w:ascii="仿宋_GB2312" w:hAnsi="Times New Roman" w:eastAsia="仿宋_GB2312" w:cs="Times New Roman"/>
          <w:b w:val="0"/>
          <w:bCs/>
          <w:color w:val="auto"/>
          <w:sz w:val="28"/>
          <w:szCs w:val="28"/>
          <w:u w:val="none"/>
        </w:rPr>
        <w:t>第一章 基本条件</w:t>
      </w:r>
    </w:p>
    <w:p>
      <w:pPr>
        <w:spacing w:before="156" w:beforeLines="50" w:after="156" w:afterLines="50" w:line="560" w:lineRule="exact"/>
        <w:ind w:firstLine="548" w:firstLineChars="196"/>
        <w:rPr>
          <w:rFonts w:ascii="仿宋_GB2312" w:eastAsia="仿宋_GB2312"/>
          <w:b w:val="0"/>
          <w:bCs/>
          <w:color w:val="auto"/>
          <w:sz w:val="28"/>
          <w:szCs w:val="28"/>
          <w:u w:val="none"/>
        </w:rPr>
      </w:pPr>
      <w:r>
        <w:rPr>
          <w:rFonts w:hint="eastAsia" w:ascii="仿宋_GB2312" w:eastAsia="仿宋_GB2312"/>
          <w:b w:val="0"/>
          <w:bCs/>
          <w:color w:val="auto"/>
          <w:sz w:val="28"/>
          <w:szCs w:val="28"/>
          <w:u w:val="none"/>
        </w:rPr>
        <w:t>一、思想政治素质和职业道德</w:t>
      </w:r>
    </w:p>
    <w:p>
      <w:pPr>
        <w:spacing w:before="156" w:beforeLines="50" w:after="156" w:afterLines="50" w:line="560" w:lineRule="exact"/>
        <w:ind w:firstLine="560" w:firstLineChars="200"/>
        <w:rPr>
          <w:rFonts w:ascii="仿宋_GB2312" w:hAnsi="宋体" w:eastAsia="仿宋_GB2312" w:cs="仿宋_GB2312"/>
          <w:b w:val="0"/>
          <w:bCs/>
          <w:color w:val="auto"/>
          <w:sz w:val="28"/>
          <w:szCs w:val="28"/>
          <w:u w:val="none"/>
        </w:rPr>
      </w:pPr>
      <w:r>
        <w:rPr>
          <w:rFonts w:hint="eastAsia" w:ascii="仿宋_GB2312" w:hAnsi="宋体" w:eastAsia="仿宋_GB2312" w:cs="仿宋_GB2312"/>
          <w:b w:val="0"/>
          <w:bCs/>
          <w:color w:val="auto"/>
          <w:sz w:val="28"/>
          <w:szCs w:val="28"/>
          <w:u w:val="none"/>
        </w:rPr>
        <w:t>（一）遵守国家法律法规及学校的有关规章制度，忠诚人民的教育事业，遵守教师职业道德规范，具有良好的师德师风，敬业爱</w:t>
      </w:r>
      <w:bookmarkStart w:id="0" w:name="_GoBack"/>
      <w:bookmarkEnd w:id="0"/>
      <w:r>
        <w:rPr>
          <w:rFonts w:hint="eastAsia" w:ascii="仿宋_GB2312" w:hAnsi="宋体" w:eastAsia="仿宋_GB2312" w:cs="仿宋_GB2312"/>
          <w:b w:val="0"/>
          <w:bCs/>
          <w:color w:val="auto"/>
          <w:sz w:val="28"/>
          <w:szCs w:val="28"/>
          <w:u w:val="none"/>
        </w:rPr>
        <w:t>岗，教书育人，为人师表。</w:t>
      </w:r>
    </w:p>
    <w:p>
      <w:pPr>
        <w:spacing w:before="156" w:beforeLines="50" w:after="156" w:afterLines="50" w:line="560" w:lineRule="exact"/>
        <w:ind w:firstLine="560" w:firstLineChars="200"/>
        <w:rPr>
          <w:rFonts w:ascii="仿宋_GB2312" w:hAnsi="宋体" w:eastAsia="仿宋_GB2312" w:cs="仿宋_GB2312"/>
          <w:b w:val="0"/>
          <w:bCs/>
          <w:color w:val="auto"/>
          <w:sz w:val="28"/>
          <w:szCs w:val="28"/>
          <w:u w:val="none"/>
        </w:rPr>
      </w:pPr>
      <w:r>
        <w:rPr>
          <w:rFonts w:hint="eastAsia" w:ascii="仿宋_GB2312" w:hAnsi="宋体" w:eastAsia="仿宋_GB2312" w:cs="仿宋_GB2312"/>
          <w:b w:val="0"/>
          <w:bCs/>
          <w:color w:val="auto"/>
          <w:sz w:val="28"/>
          <w:szCs w:val="28"/>
          <w:u w:val="none"/>
        </w:rPr>
        <w:t>（二）年度及聘期考核合格以上。</w:t>
      </w:r>
    </w:p>
    <w:p>
      <w:pPr>
        <w:spacing w:before="156" w:beforeLines="50" w:after="156" w:afterLines="50" w:line="560" w:lineRule="exact"/>
        <w:ind w:firstLine="560" w:firstLineChars="200"/>
        <w:rPr>
          <w:rFonts w:ascii="仿宋_GB2312" w:eastAsia="仿宋_GB2312"/>
          <w:b w:val="0"/>
          <w:bCs/>
          <w:color w:val="auto"/>
          <w:sz w:val="28"/>
          <w:szCs w:val="28"/>
          <w:u w:val="none"/>
        </w:rPr>
      </w:pPr>
      <w:r>
        <w:rPr>
          <w:rFonts w:hint="eastAsia" w:ascii="仿宋_GB2312" w:eastAsia="仿宋_GB2312"/>
          <w:b w:val="0"/>
          <w:bCs/>
          <w:color w:val="auto"/>
          <w:sz w:val="28"/>
          <w:szCs w:val="28"/>
          <w:u w:val="none"/>
        </w:rPr>
        <w:t>（三）任现职期间，出现下列情况之一的，在规定年限上延迟申报：</w:t>
      </w:r>
    </w:p>
    <w:p>
      <w:pPr>
        <w:spacing w:before="156" w:beforeLines="50" w:after="156" w:afterLines="50" w:line="560" w:lineRule="exact"/>
        <w:ind w:firstLine="560" w:firstLineChars="200"/>
        <w:rPr>
          <w:rFonts w:ascii="仿宋_GB2312" w:eastAsia="仿宋_GB2312"/>
          <w:b w:val="0"/>
          <w:bCs/>
          <w:color w:val="auto"/>
          <w:sz w:val="28"/>
          <w:szCs w:val="28"/>
          <w:u w:val="none"/>
        </w:rPr>
      </w:pPr>
      <w:r>
        <w:rPr>
          <w:rFonts w:hint="eastAsia" w:ascii="仿宋_GB2312" w:eastAsia="仿宋_GB2312"/>
          <w:b w:val="0"/>
          <w:bCs/>
          <w:color w:val="auto"/>
          <w:sz w:val="28"/>
          <w:szCs w:val="28"/>
          <w:u w:val="none"/>
        </w:rPr>
        <w:t>1.凡受党纪、政纪处分者，延迟2年申报；</w:t>
      </w:r>
    </w:p>
    <w:p>
      <w:pPr>
        <w:spacing w:before="156" w:beforeLines="50" w:after="156" w:afterLines="50" w:line="560" w:lineRule="exact"/>
        <w:ind w:firstLine="560" w:firstLineChars="200"/>
        <w:rPr>
          <w:rFonts w:ascii="仿宋_GB2312" w:eastAsia="仿宋_GB2312"/>
          <w:b w:val="0"/>
          <w:bCs/>
          <w:color w:val="auto"/>
          <w:sz w:val="28"/>
          <w:szCs w:val="28"/>
          <w:u w:val="none"/>
        </w:rPr>
      </w:pPr>
      <w:r>
        <w:rPr>
          <w:rFonts w:hint="eastAsia" w:ascii="仿宋_GB2312" w:eastAsia="仿宋_GB2312"/>
          <w:b w:val="0"/>
          <w:bCs/>
          <w:color w:val="auto"/>
          <w:sz w:val="28"/>
          <w:szCs w:val="28"/>
          <w:u w:val="none"/>
        </w:rPr>
        <w:t>2.弄虚作假、剽窃他人成果者，延迟3年申报。</w:t>
      </w:r>
    </w:p>
    <w:p>
      <w:pPr>
        <w:spacing w:before="156" w:beforeLines="50" w:after="156" w:afterLines="50" w:line="560" w:lineRule="exact"/>
        <w:ind w:firstLine="560" w:firstLineChars="200"/>
        <w:rPr>
          <w:rFonts w:ascii="仿宋_GB2312" w:eastAsia="仿宋_GB2312"/>
          <w:b w:val="0"/>
          <w:bCs/>
          <w:color w:val="auto"/>
          <w:sz w:val="28"/>
          <w:szCs w:val="28"/>
          <w:u w:val="none"/>
        </w:rPr>
      </w:pPr>
      <w:r>
        <w:rPr>
          <w:rFonts w:hint="eastAsia" w:ascii="仿宋_GB2312" w:eastAsia="仿宋_GB2312"/>
          <w:b w:val="0"/>
          <w:bCs/>
          <w:color w:val="auto"/>
          <w:sz w:val="28"/>
          <w:szCs w:val="28"/>
          <w:u w:val="none"/>
        </w:rPr>
        <w:t>二、社会服务</w:t>
      </w:r>
    </w:p>
    <w:p>
      <w:pPr>
        <w:spacing w:before="156" w:beforeLines="50" w:after="156" w:afterLines="50" w:line="560" w:lineRule="exact"/>
        <w:ind w:firstLine="560" w:firstLineChars="200"/>
        <w:rPr>
          <w:rFonts w:ascii="仿宋_GB2312" w:eastAsia="仿宋_GB2312"/>
          <w:b w:val="0"/>
          <w:bCs/>
          <w:color w:val="auto"/>
          <w:sz w:val="28"/>
          <w:szCs w:val="28"/>
          <w:u w:val="none"/>
        </w:rPr>
      </w:pPr>
      <w:r>
        <w:rPr>
          <w:rFonts w:hint="eastAsia" w:ascii="仿宋_GB2312" w:eastAsia="仿宋_GB2312"/>
          <w:b w:val="0"/>
          <w:bCs/>
          <w:color w:val="auto"/>
          <w:sz w:val="28"/>
          <w:szCs w:val="28"/>
          <w:u w:val="none"/>
        </w:rPr>
        <w:t>主动对接国家和地方的重大战略需求，承担科技攻关项目，实现科学技术转化，参与决策咨询服务；积极承担或兼任校内各级职务，鼓励在校外重要学术团体兼任职务等；对学校和二级单位发展建言献策,积极参与学校和二级单位的各类活动，为学校发展作出重要贡献。</w:t>
      </w:r>
    </w:p>
    <w:p>
      <w:pPr>
        <w:spacing w:before="156" w:beforeLines="50" w:after="156" w:afterLines="50" w:line="560" w:lineRule="exact"/>
        <w:ind w:firstLine="560" w:firstLineChars="200"/>
        <w:rPr>
          <w:rFonts w:ascii="仿宋_GB2312" w:eastAsia="仿宋_GB2312"/>
          <w:b w:val="0"/>
          <w:bCs/>
          <w:color w:val="auto"/>
          <w:sz w:val="28"/>
          <w:szCs w:val="28"/>
          <w:u w:val="none"/>
        </w:rPr>
      </w:pPr>
      <w:r>
        <w:rPr>
          <w:rFonts w:hint="eastAsia" w:ascii="仿宋_GB2312" w:eastAsia="仿宋_GB2312"/>
          <w:b w:val="0"/>
          <w:bCs/>
          <w:color w:val="auto"/>
          <w:sz w:val="28"/>
          <w:szCs w:val="28"/>
          <w:u w:val="none"/>
        </w:rPr>
        <w:t>三、继续教育条件</w:t>
      </w:r>
    </w:p>
    <w:p>
      <w:pPr>
        <w:spacing w:before="156" w:beforeLines="50" w:after="156" w:afterLines="50" w:line="560" w:lineRule="exact"/>
        <w:ind w:firstLine="560" w:firstLineChars="200"/>
        <w:rPr>
          <w:rFonts w:ascii="仿宋_GB2312" w:eastAsia="仿宋_GB2312"/>
          <w:b w:val="0"/>
          <w:bCs/>
          <w:color w:val="auto"/>
          <w:sz w:val="28"/>
          <w:szCs w:val="28"/>
          <w:u w:val="none"/>
        </w:rPr>
      </w:pPr>
      <w:r>
        <w:rPr>
          <w:rFonts w:hint="eastAsia" w:ascii="仿宋_GB2312" w:eastAsia="仿宋_GB2312"/>
          <w:b w:val="0"/>
          <w:bCs/>
          <w:color w:val="auto"/>
          <w:sz w:val="28"/>
          <w:szCs w:val="28"/>
          <w:u w:val="none"/>
        </w:rPr>
        <w:t>任现职期间，按照《广东省科学技术人员继续教育规定》的要求，结合本专业教学科研工作的实际需要，参加以新理论、新技术和新方法为主要内容的继续教育，达到规定的要求，并提供继续教育合格证书。</w:t>
      </w:r>
    </w:p>
    <w:p>
      <w:pPr>
        <w:spacing w:before="156" w:beforeLines="50" w:after="156" w:afterLines="50" w:line="560" w:lineRule="exact"/>
        <w:ind w:firstLine="560" w:firstLineChars="200"/>
        <w:jc w:val="center"/>
        <w:rPr>
          <w:rFonts w:ascii="仿宋_GB2312" w:eastAsia="仿宋_GB2312"/>
          <w:b w:val="0"/>
          <w:bCs/>
          <w:color w:val="auto"/>
          <w:sz w:val="28"/>
          <w:szCs w:val="28"/>
          <w:u w:val="none"/>
        </w:rPr>
      </w:pPr>
      <w:r>
        <w:rPr>
          <w:rFonts w:hint="eastAsia" w:ascii="仿宋_GB2312" w:eastAsia="仿宋_GB2312"/>
          <w:b w:val="0"/>
          <w:bCs/>
          <w:color w:val="auto"/>
          <w:sz w:val="28"/>
          <w:szCs w:val="28"/>
          <w:u w:val="none"/>
        </w:rPr>
        <w:t>第二章 业绩条件</w:t>
      </w:r>
    </w:p>
    <w:p>
      <w:pPr>
        <w:widowControl/>
        <w:spacing w:before="156" w:beforeLines="50" w:after="156" w:afterLines="50" w:line="560" w:lineRule="exact"/>
        <w:ind w:firstLine="548" w:firstLineChars="196"/>
        <w:outlineLvl w:val="0"/>
        <w:rPr>
          <w:rFonts w:ascii="仿宋_GB2312" w:hAnsi="宋体" w:eastAsia="仿宋_GB2312" w:cs="宋体"/>
          <w:b w:val="0"/>
          <w:bCs/>
          <w:color w:val="auto"/>
          <w:kern w:val="36"/>
          <w:sz w:val="28"/>
          <w:szCs w:val="28"/>
          <w:u w:val="none"/>
        </w:rPr>
      </w:pPr>
      <w:r>
        <w:rPr>
          <w:rFonts w:hint="eastAsia" w:ascii="仿宋_GB2312" w:hAnsi="宋体" w:eastAsia="仿宋_GB2312" w:cs="宋体"/>
          <w:b w:val="0"/>
          <w:bCs/>
          <w:color w:val="auto"/>
          <w:kern w:val="36"/>
          <w:sz w:val="28"/>
          <w:szCs w:val="28"/>
          <w:u w:val="none"/>
        </w:rPr>
        <w:t>一、研究馆员</w:t>
      </w:r>
    </w:p>
    <w:p>
      <w:pPr>
        <w:spacing w:before="50" w:after="156" w:afterLines="50" w:line="560" w:lineRule="exact"/>
        <w:ind w:firstLine="560" w:firstLineChars="200"/>
        <w:rPr>
          <w:rFonts w:ascii="仿宋_GB2312" w:eastAsia="仿宋_GB2312"/>
          <w:b w:val="0"/>
          <w:bCs/>
          <w:color w:val="auto"/>
          <w:sz w:val="28"/>
          <w:szCs w:val="28"/>
          <w:u w:val="none"/>
        </w:rPr>
      </w:pPr>
      <w:r>
        <w:rPr>
          <w:rFonts w:hint="eastAsia" w:ascii="仿宋_GB2312" w:hAnsi="宋体" w:eastAsia="仿宋_GB2312" w:cs="仿宋_GB2312"/>
          <w:b w:val="0"/>
          <w:bCs/>
          <w:color w:val="auto"/>
          <w:sz w:val="28"/>
          <w:szCs w:val="28"/>
          <w:u w:val="none"/>
        </w:rPr>
        <w:t>（一）知识水平和专业能力标准</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xml:space="preserve">具有广博的科学文化知识，精通图书馆学、情报学基础理论和专业技能，及时跟踪国内外图书资料专业的发展动态；具有很强的科研能力和丰富的专业工作经验，能运用新技术传播和开发文献信息，在重大业务建设的理论与实践上有创见，主持完成高难度的科研课题或工作项目，业绩显著；公开发表、出版本专业高水平的论文、著作；具有培养专门人才和指导中级以上专业人员的能力，是图书馆学及图书馆工作某一领域的学术、技术带头人；熟练运用外语获取信息和进行学术交流；具有良好的职业道德和敬业精神。 </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（二）资历条件</w:t>
      </w:r>
    </w:p>
    <w:p>
      <w:pPr>
        <w:spacing w:before="50" w:after="156" w:afterLines="50" w:line="560" w:lineRule="exact"/>
        <w:ind w:firstLine="560" w:firstLineChars="200"/>
        <w:rPr>
          <w:rFonts w:hint="eastAsia" w:ascii="仿宋_GB2312" w:eastAsia="仿宋_GB2312"/>
          <w:b w:val="0"/>
          <w:bCs/>
          <w:color w:val="auto"/>
          <w:sz w:val="28"/>
          <w:szCs w:val="28"/>
          <w:u w:val="none"/>
        </w:rPr>
      </w:pPr>
      <w:r>
        <w:rPr>
          <w:rFonts w:hint="eastAsia" w:ascii="仿宋_GB2312" w:eastAsia="仿宋_GB2312"/>
          <w:b w:val="0"/>
          <w:bCs/>
          <w:color w:val="auto"/>
          <w:sz w:val="28"/>
          <w:szCs w:val="28"/>
          <w:u w:val="none"/>
        </w:rPr>
        <w:t>1</w:t>
      </w:r>
      <w:r>
        <w:rPr>
          <w:rFonts w:hint="eastAsia" w:ascii="仿宋_GB2312" w:eastAsia="仿宋_GB2312"/>
          <w:b w:val="0"/>
          <w:bCs/>
          <w:color w:val="auto"/>
          <w:sz w:val="28"/>
          <w:szCs w:val="28"/>
          <w:u w:val="none"/>
          <w:lang w:val="en-US" w:eastAsia="zh-CN"/>
        </w:rPr>
        <w:t>.</w:t>
      </w:r>
      <w:r>
        <w:rPr>
          <w:rFonts w:hint="eastAsia" w:ascii="仿宋_GB2312" w:eastAsia="仿宋_GB2312"/>
          <w:b w:val="0"/>
          <w:bCs/>
          <w:color w:val="auto"/>
          <w:sz w:val="28"/>
          <w:szCs w:val="28"/>
          <w:u w:val="none"/>
          <w:lang w:eastAsia="zh-CN"/>
        </w:rPr>
        <w:t>承担副高级职务满</w:t>
      </w:r>
      <w:r>
        <w:rPr>
          <w:rFonts w:hint="eastAsia" w:ascii="仿宋_GB2312" w:eastAsia="仿宋_GB2312"/>
          <w:b w:val="0"/>
          <w:bCs/>
          <w:color w:val="auto"/>
          <w:sz w:val="28"/>
          <w:szCs w:val="28"/>
          <w:u w:val="none"/>
          <w:lang w:val="en-US" w:eastAsia="zh-CN"/>
        </w:rPr>
        <w:t>5年</w:t>
      </w:r>
      <w:r>
        <w:rPr>
          <w:rFonts w:hint="eastAsia" w:ascii="仿宋_GB2312" w:eastAsia="仿宋_GB2312"/>
          <w:b w:val="0"/>
          <w:bCs/>
          <w:color w:val="auto"/>
          <w:sz w:val="28"/>
          <w:szCs w:val="28"/>
          <w:u w:val="none"/>
        </w:rPr>
        <w:t>。</w:t>
      </w:r>
    </w:p>
    <w:p>
      <w:pPr>
        <w:spacing w:before="50" w:after="156" w:afterLines="50" w:line="560" w:lineRule="exact"/>
        <w:ind w:firstLine="560" w:firstLineChars="200"/>
        <w:rPr>
          <w:rFonts w:ascii="仿宋_GB2312" w:hAnsi="Times New Roman" w:eastAsia="仿宋_GB2312"/>
          <w:b w:val="0"/>
          <w:bCs/>
          <w:color w:val="auto"/>
          <w:sz w:val="28"/>
          <w:szCs w:val="28"/>
          <w:u w:val="none"/>
        </w:rPr>
      </w:pPr>
      <w:r>
        <w:rPr>
          <w:rFonts w:hint="eastAsia" w:ascii="仿宋_GB2312" w:eastAsia="仿宋_GB2312"/>
          <w:b w:val="0"/>
          <w:bCs/>
          <w:color w:val="auto"/>
          <w:sz w:val="28"/>
          <w:szCs w:val="28"/>
          <w:u w:val="none"/>
        </w:rPr>
        <w:t>2</w:t>
      </w:r>
      <w:r>
        <w:rPr>
          <w:rFonts w:hint="eastAsia" w:ascii="仿宋_GB2312" w:eastAsia="仿宋_GB2312"/>
          <w:b w:val="0"/>
          <w:bCs/>
          <w:color w:val="auto"/>
          <w:sz w:val="28"/>
          <w:szCs w:val="28"/>
          <w:u w:val="none"/>
          <w:lang w:val="en-US" w:eastAsia="zh-CN"/>
        </w:rPr>
        <w:t>.</w:t>
      </w:r>
      <w:r>
        <w:rPr>
          <w:rFonts w:hint="eastAsia" w:ascii="仿宋_GB2312" w:eastAsia="仿宋_GB2312"/>
          <w:b w:val="0"/>
          <w:bCs/>
          <w:color w:val="auto"/>
          <w:sz w:val="28"/>
          <w:szCs w:val="28"/>
          <w:u w:val="none"/>
        </w:rPr>
        <w:t>45周岁以下（截止到当年8月31日）申报原则上必须取得博士学位。</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（三）专业技术工作经历条件</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任现职期间，具备所在岗位的下列条件：</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1.文献信息服务岗位</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（1）根据有关政策及社会需求，准确分析判断文献信息价值及其优劣，主持开发具有重大影响的专题文献信息。</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（2）把握文献信息开发方向，主持编制专题文献提要、文摘、题录，撰写高水平的文献信息专题综述。</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（3）系统掌握各类文献信息资源，主持开展课题跟踪、专题信息等深层次的服务。</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（4）主持大型书目索引编制或专题数据库建设工作，撰写高质量文献提要、注释和综述。</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2.文献采编岗位</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（1）系统掌握馆藏文献分布，主持制定、修订文献资料采访工作的规章制度，在馆藏文献资源建设中发挥主要作用。</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（2）系统掌握文献分类法、主题法、编目法、排检法等标引工具及方法，主持完成省级以上专业规范、技术标准的编制工作或主要参与完成全国或地区性重大采编业务建设项目。</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（3）精通图书采访、编目工作全过程，承担本单位图书的重点采访工作或担任编目总审校工作。</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3.读者服务岗位</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（1）系统掌握馆藏文献布局，全面主持读者服务工作; 主持读者调研，分析读者阅读倾向，主持拟定本单位文献资源建设或阅读推广服务方案。</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（2）主持开展图书馆的延伸服务和图书馆宣传推介工作，制定具体工作实施方案，在业内推广使用，取得良好社会效益。</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（3）熟练运用各种工具书及文献检索方法，开展高层次咨询服务或读者阅读辅导工作。</w:t>
      </w:r>
    </w:p>
    <w:p>
      <w:pPr>
        <w:widowControl/>
        <w:spacing w:before="156" w:beforeLines="50" w:after="156" w:afterLines="50" w:line="560" w:lineRule="exact"/>
        <w:ind w:firstLine="548" w:firstLineChars="196"/>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（4）对本专业理论有深入研究，承担2门以上相关专业教学课程工作，取得效果优良。</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4.信息技术应用与服务岗位</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（1）主持制定并完成大中型图书馆的自动化、网络化、数字化建设项目; 承担大型计算机信息技术系统可行性分析、总体方案设计和组织实施。</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（2）系统掌握计算机、网络、信息等现代化技术，指导下一级专业技术人员应用于图书馆业务和管理工作中，成效显著。</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（3）主持解决本单位重大技术难题，主持制定各项规章制度，组织、指导专业技术人员进行程序设计和系统维护等。</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（四）业绩成果条件</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任现职期间，具备下列条件之一：</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1.获得国家科研成果奖；或省（部）级科研成果一等奖（排名前3）、二等奖（排名第1）。</w:t>
      </w:r>
    </w:p>
    <w:p>
      <w:pPr>
        <w:widowControl/>
        <w:spacing w:before="156" w:beforeLines="50" w:after="156" w:afterLines="50" w:line="560" w:lineRule="exact"/>
        <w:ind w:firstLine="57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w:t>
      </w:r>
      <w:r>
        <w:rPr>
          <w:rFonts w:hint="eastAsia" w:ascii="仿宋_GB2312" w:hAnsi="宋体" w:eastAsia="仿宋_GB2312"/>
          <w:b w:val="0"/>
          <w:bCs/>
          <w:color w:val="auto"/>
          <w:sz w:val="28"/>
          <w:szCs w:val="28"/>
          <w:u w:val="none"/>
        </w:rPr>
        <w:t xml:space="preserve"> 主持</w:t>
      </w:r>
      <w:r>
        <w:rPr>
          <w:rFonts w:ascii="仿宋_GB2312" w:hAnsi="宋体" w:eastAsia="仿宋_GB2312"/>
          <w:b w:val="0"/>
          <w:bCs/>
          <w:color w:val="auto"/>
          <w:sz w:val="28"/>
          <w:szCs w:val="28"/>
          <w:u w:val="none"/>
        </w:rPr>
        <w:t>1</w:t>
      </w:r>
      <w:r>
        <w:rPr>
          <w:rFonts w:hint="eastAsia" w:ascii="仿宋_GB2312" w:hAnsi="宋体" w:eastAsia="仿宋_GB2312"/>
          <w:b w:val="0"/>
          <w:bCs/>
          <w:color w:val="auto"/>
          <w:sz w:val="28"/>
          <w:szCs w:val="28"/>
          <w:u w:val="none"/>
        </w:rPr>
        <w:t>项国家级项目；或主持</w:t>
      </w:r>
      <w:r>
        <w:rPr>
          <w:rFonts w:ascii="仿宋_GB2312" w:hAnsi="宋体" w:eastAsia="仿宋_GB2312"/>
          <w:b w:val="0"/>
          <w:bCs/>
          <w:color w:val="auto"/>
          <w:sz w:val="28"/>
          <w:szCs w:val="28"/>
          <w:u w:val="none"/>
        </w:rPr>
        <w:t>2</w:t>
      </w:r>
      <w:r>
        <w:rPr>
          <w:rFonts w:hint="eastAsia" w:ascii="仿宋_GB2312" w:hAnsi="宋体" w:eastAsia="仿宋_GB2312"/>
          <w:b w:val="0"/>
          <w:bCs/>
          <w:color w:val="auto"/>
          <w:sz w:val="28"/>
          <w:szCs w:val="28"/>
          <w:u w:val="none"/>
        </w:rPr>
        <w:t>项省部级项目，其中</w:t>
      </w:r>
      <w:r>
        <w:rPr>
          <w:rFonts w:ascii="仿宋_GB2312" w:hAnsi="宋体" w:eastAsia="仿宋_GB2312"/>
          <w:b w:val="0"/>
          <w:bCs/>
          <w:color w:val="auto"/>
          <w:sz w:val="28"/>
          <w:szCs w:val="28"/>
          <w:u w:val="none"/>
        </w:rPr>
        <w:t>1</w:t>
      </w:r>
      <w:r>
        <w:rPr>
          <w:rFonts w:hint="eastAsia" w:ascii="仿宋_GB2312" w:hAnsi="宋体" w:eastAsia="仿宋_GB2312"/>
          <w:b w:val="0"/>
          <w:bCs/>
          <w:color w:val="auto"/>
          <w:sz w:val="28"/>
          <w:szCs w:val="28"/>
          <w:u w:val="none"/>
        </w:rPr>
        <w:t>项已经完成结题；或主持市厅级项目3项，其中2项完成结题。</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（五）论文、著作条件</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任现职期间，公开发表、出版本专业高水平的论文、著作，具备下列条件之一：</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1.独立撰写学术专著1部，或主编国家级规划教材（排名前2）</w:t>
      </w:r>
      <w:r>
        <w:rPr>
          <w:rFonts w:hint="eastAsia" w:ascii="仿宋_GB2312" w:eastAsia="仿宋_GB2312"/>
          <w:b w:val="0"/>
          <w:bCs/>
          <w:color w:val="auto"/>
          <w:sz w:val="28"/>
          <w:szCs w:val="28"/>
          <w:u w:val="none"/>
        </w:rPr>
        <w:t>，或主编省部级规划教材（排名第1）</w:t>
      </w:r>
      <w:r>
        <w:rPr>
          <w:rFonts w:hint="eastAsia" w:ascii="仿宋_GB2312" w:hAnsi="宋体" w:eastAsia="仿宋_GB2312" w:cs="宋体"/>
          <w:b w:val="0"/>
          <w:bCs/>
          <w:color w:val="auto"/>
          <w:kern w:val="0"/>
          <w:sz w:val="28"/>
          <w:szCs w:val="28"/>
          <w:u w:val="none"/>
        </w:rPr>
        <w:t>，且本人撰写部分汉字20万字以上。</w:t>
      </w:r>
    </w:p>
    <w:p>
      <w:pPr>
        <w:widowControl/>
        <w:spacing w:before="156" w:beforeLines="50" w:after="156" w:afterLines="50" w:line="560" w:lineRule="exact"/>
        <w:ind w:firstLine="604" w:firstLineChars="216"/>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2.合作（排名第一）撰写学术著作1部（本人撰写部分汉字10万字以上）和发表学术论文4篇以上，其中2篇在</w:t>
      </w:r>
      <w:r>
        <w:rPr>
          <w:rFonts w:hint="eastAsia" w:ascii="仿宋_GB2312" w:eastAsia="仿宋_GB2312"/>
          <w:b w:val="0"/>
          <w:bCs/>
          <w:color w:val="auto"/>
          <w:sz w:val="28"/>
          <w:szCs w:val="28"/>
          <w:u w:val="none"/>
        </w:rPr>
        <w:t>权威期刊</w:t>
      </w:r>
      <w:r>
        <w:rPr>
          <w:rFonts w:hint="eastAsia" w:ascii="仿宋_GB2312" w:hAnsi="宋体" w:eastAsia="仿宋_GB2312" w:cs="宋体"/>
          <w:b w:val="0"/>
          <w:bCs/>
          <w:color w:val="auto"/>
          <w:kern w:val="0"/>
          <w:sz w:val="28"/>
          <w:szCs w:val="28"/>
          <w:u w:val="none"/>
        </w:rPr>
        <w:t>发表。</w:t>
      </w:r>
    </w:p>
    <w:p>
      <w:pPr>
        <w:widowControl/>
        <w:spacing w:before="156" w:beforeLines="50" w:after="156" w:afterLines="50" w:line="560" w:lineRule="exact"/>
        <w:ind w:firstLine="560" w:firstLineChars="200"/>
        <w:outlineLvl w:val="0"/>
        <w:rPr>
          <w:rFonts w:ascii="仿宋_GB2312" w:hAnsi="宋体" w:eastAsia="仿宋_GB2312" w:cs="宋体"/>
          <w:b w:val="0"/>
          <w:bCs/>
          <w:color w:val="auto"/>
          <w:kern w:val="36"/>
          <w:sz w:val="28"/>
          <w:szCs w:val="28"/>
          <w:u w:val="none"/>
        </w:rPr>
      </w:pPr>
      <w:r>
        <w:rPr>
          <w:rFonts w:hint="eastAsia" w:ascii="仿宋_GB2312" w:hAnsi="宋体" w:eastAsia="仿宋_GB2312" w:cs="宋体"/>
          <w:b w:val="0"/>
          <w:bCs/>
          <w:color w:val="auto"/>
          <w:kern w:val="0"/>
          <w:sz w:val="28"/>
          <w:szCs w:val="28"/>
          <w:u w:val="none"/>
        </w:rPr>
        <w:t>3.发表学术论文8篇，</w:t>
      </w:r>
      <w:r>
        <w:rPr>
          <w:rFonts w:hint="eastAsia" w:ascii="仿宋_GB2312" w:eastAsia="仿宋_GB2312"/>
          <w:b w:val="0"/>
          <w:bCs/>
          <w:color w:val="auto"/>
          <w:sz w:val="28"/>
          <w:szCs w:val="28"/>
          <w:u w:val="none"/>
        </w:rPr>
        <w:t>其中权威期刊论文</w:t>
      </w:r>
      <w:r>
        <w:rPr>
          <w:rFonts w:hint="eastAsia" w:ascii="仿宋_GB2312" w:hAnsi="宋体" w:eastAsia="仿宋_GB2312" w:cs="宋体"/>
          <w:b w:val="0"/>
          <w:bCs/>
          <w:color w:val="auto"/>
          <w:kern w:val="0"/>
          <w:sz w:val="28"/>
          <w:szCs w:val="28"/>
          <w:u w:val="none"/>
        </w:rPr>
        <w:t>4篇。</w:t>
      </w:r>
    </w:p>
    <w:p>
      <w:pPr>
        <w:widowControl/>
        <w:spacing w:before="156" w:beforeLines="50" w:after="156" w:afterLines="50" w:line="560" w:lineRule="exact"/>
        <w:ind w:firstLine="548" w:firstLineChars="196"/>
        <w:outlineLvl w:val="0"/>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36"/>
          <w:sz w:val="28"/>
          <w:szCs w:val="28"/>
          <w:u w:val="none"/>
        </w:rPr>
        <w:t>二、副研究馆员</w:t>
      </w:r>
    </w:p>
    <w:p>
      <w:pPr>
        <w:spacing w:before="50" w:after="156" w:afterLines="50" w:line="560" w:lineRule="exact"/>
        <w:ind w:firstLine="560" w:firstLineChars="200"/>
        <w:rPr>
          <w:rFonts w:ascii="仿宋_GB2312" w:eastAsia="仿宋_GB2312"/>
          <w:b w:val="0"/>
          <w:bCs/>
          <w:color w:val="auto"/>
          <w:sz w:val="28"/>
          <w:szCs w:val="28"/>
          <w:u w:val="none"/>
        </w:rPr>
      </w:pPr>
      <w:r>
        <w:rPr>
          <w:rFonts w:hint="eastAsia" w:ascii="仿宋_GB2312" w:hAnsi="宋体" w:eastAsia="仿宋_GB2312" w:cs="仿宋_GB2312"/>
          <w:b w:val="0"/>
          <w:bCs/>
          <w:color w:val="auto"/>
          <w:sz w:val="28"/>
          <w:szCs w:val="28"/>
          <w:u w:val="none"/>
        </w:rPr>
        <w:t>（一）知识水平和专业能力标准</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具有较广博的科学文化知识，系统掌握图书馆学、情报学基础理论和专业技能，掌握国内外图书资料专业的发展动态；具有较强的科研能力和较丰富的专业工作经验，能运用新技术传播和开发文献信息，在业务建设的理论与实践上有创见，完成较高难度的科研课题或工作项目，业绩显著；公开发表、出版本专业较高水平的论文、著作；具有培养专门人才和指导中级专业人员的能力；熟练运用外语获取信息和进行学术交流；具有良好的职业道德和敬业精神。</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（二）资历条件</w:t>
      </w:r>
    </w:p>
    <w:p>
      <w:pPr>
        <w:spacing w:before="156" w:beforeLines="50" w:after="156" w:afterLines="50" w:line="560" w:lineRule="exact"/>
        <w:ind w:firstLine="840" w:firstLineChars="300"/>
        <w:rPr>
          <w:rFonts w:ascii="仿宋_GB2312" w:eastAsia="仿宋_GB2312"/>
          <w:b w:val="0"/>
          <w:bCs/>
          <w:color w:val="auto"/>
          <w:sz w:val="28"/>
          <w:szCs w:val="28"/>
          <w:u w:val="none"/>
        </w:rPr>
      </w:pPr>
      <w:r>
        <w:rPr>
          <w:rFonts w:hint="eastAsia" w:ascii="仿宋_GB2312" w:eastAsia="仿宋_GB2312"/>
          <w:b w:val="0"/>
          <w:bCs/>
          <w:color w:val="auto"/>
          <w:sz w:val="28"/>
          <w:szCs w:val="28"/>
          <w:u w:val="none"/>
        </w:rPr>
        <w:t>取得博士学位后</w:t>
      </w:r>
      <w:r>
        <w:rPr>
          <w:rFonts w:hint="eastAsia" w:ascii="仿宋_GB2312" w:eastAsia="仿宋_GB2312"/>
          <w:b w:val="0"/>
          <w:bCs/>
          <w:color w:val="auto"/>
          <w:sz w:val="28"/>
          <w:szCs w:val="28"/>
          <w:u w:val="none"/>
          <w:lang w:eastAsia="zh-CN"/>
        </w:rPr>
        <w:t>从事专业技术工作</w:t>
      </w:r>
      <w:r>
        <w:rPr>
          <w:rFonts w:hint="eastAsia" w:ascii="仿宋_GB2312" w:eastAsia="仿宋_GB2312"/>
          <w:b w:val="0"/>
          <w:bCs/>
          <w:color w:val="auto"/>
          <w:sz w:val="28"/>
          <w:szCs w:val="28"/>
          <w:u w:val="none"/>
        </w:rPr>
        <w:t>满2年；或</w:t>
      </w:r>
      <w:r>
        <w:rPr>
          <w:rFonts w:hint="eastAsia" w:ascii="仿宋_GB2312" w:eastAsia="仿宋_GB2312"/>
          <w:b w:val="0"/>
          <w:bCs/>
          <w:color w:val="auto"/>
          <w:sz w:val="28"/>
          <w:szCs w:val="28"/>
          <w:u w:val="none"/>
          <w:lang w:eastAsia="zh-CN"/>
        </w:rPr>
        <w:t>承担中级职务</w:t>
      </w:r>
      <w:r>
        <w:rPr>
          <w:rFonts w:hint="eastAsia" w:ascii="仿宋_GB2312" w:eastAsia="仿宋_GB2312"/>
          <w:b w:val="0"/>
          <w:bCs/>
          <w:color w:val="auto"/>
          <w:sz w:val="28"/>
          <w:szCs w:val="28"/>
          <w:u w:val="none"/>
        </w:rPr>
        <w:t>满5年。</w:t>
      </w:r>
    </w:p>
    <w:p>
      <w:pPr>
        <w:spacing w:before="50" w:after="156" w:afterLines="50" w:line="560" w:lineRule="exact"/>
        <w:ind w:firstLine="557" w:firstLineChars="199"/>
        <w:rPr>
          <w:rFonts w:ascii="仿宋_GB2312" w:eastAsia="仿宋_GB2312"/>
          <w:b w:val="0"/>
          <w:bCs/>
          <w:color w:val="auto"/>
          <w:sz w:val="28"/>
          <w:szCs w:val="28"/>
          <w:u w:val="none"/>
        </w:rPr>
      </w:pPr>
      <w:r>
        <w:rPr>
          <w:rFonts w:hint="eastAsia" w:ascii="仿宋_GB2312" w:hAnsi="宋体" w:eastAsia="仿宋_GB2312" w:cs="宋体"/>
          <w:b w:val="0"/>
          <w:bCs/>
          <w:color w:val="auto"/>
          <w:kern w:val="0"/>
          <w:sz w:val="28"/>
          <w:szCs w:val="28"/>
          <w:u w:val="none"/>
        </w:rPr>
        <w:t>（三）专业技术工作经历条件</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任现职期间，具备所在岗位的下列条件：</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1.文献信息服务岗位</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（1）根据有关政策及社会需求，开发专题文献信息，在文献信息开发工作中发挥重要作用，撰写调研报告或工作方案。</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（2）独立开展文献信息加工整理工作; 主持专题文献信息检索、收集、编辑等工作。</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（3）熟悉掌握各类文献信息资源，为读者提供较深层次的专题信息服务，撰写较为系统的文献信息服务方案。</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2.文献采编岗位</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（1）熟悉掌握馆藏文献收藏情况，主持制定、修订文献资料采访工作的规章制度，在文献体系建设中发挥重要作用。</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（2）熟练掌握文献分类法、主题法及编目规则等，对文献进行准确的形态描述和内容标引。</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（3）作为主要完成人完成文献采访或编目工作。</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3.读者服务岗位</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（1）熟悉掌握馆藏文献布局，主持读者调研，分析读者阅读倾向，主要参与制定借阅服务管理规定和阅读推广计划，提供优质服务。</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（2）主持开展图书馆的延伸服务和图书馆宣传推介工作，制定具体工作实施方案，取得良好社会效益。</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（3）熟练运用各种工具书及文献检索方法，为读者答疑解难，服务成效显著。</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（4）承担信息素养专业课程教学任务，熟练掌握教学方法与规律，取得良好教学效果。</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4.信息技术应用与服务岗位</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（1）主要参与制定本单位技术服务与信息技术应用开发工作方案。</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（2）熟练掌握计算机、网络、信息等现代化技术，有效应用到图书馆业务管理工作中，取得良好的服务效果。</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（3）承担较大计算机信息技术应用系统的可行性分析、总体方案设计，并组织实施。</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（4）参与解决本单位重大技术难题，主持制定各项规章制度，组织、指导技术人员进行程序设计和系统维护等。</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（四）业绩成果条件</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任现职期间，具备下列条件之一：</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1.获得国家级科研成果奖；或省（部）级科研成果奖（排名前5）；或市（厅）级科研成果奖一等奖（排名前3）、二等奖（排名前2）、三等奖（排名第1）。</w:t>
      </w:r>
    </w:p>
    <w:p>
      <w:pPr>
        <w:widowControl/>
        <w:spacing w:before="156" w:beforeLines="50" w:after="156" w:afterLines="50" w:line="560" w:lineRule="exact"/>
        <w:jc w:val="left"/>
        <w:rPr>
          <w:rFonts w:ascii="仿宋_GB2312" w:hAnsi="宋体" w:eastAsia="仿宋_GB2312"/>
          <w:b w:val="0"/>
          <w:bCs/>
          <w:color w:val="auto"/>
          <w:sz w:val="30"/>
          <w:szCs w:val="30"/>
          <w:u w:val="none"/>
        </w:rPr>
      </w:pPr>
      <w:r>
        <w:rPr>
          <w:rFonts w:hint="eastAsia" w:ascii="仿宋_GB2312" w:hAnsi="宋体" w:eastAsia="仿宋_GB2312" w:cs="宋体"/>
          <w:b w:val="0"/>
          <w:bCs/>
          <w:color w:val="auto"/>
          <w:kern w:val="0"/>
          <w:sz w:val="28"/>
          <w:szCs w:val="28"/>
          <w:u w:val="none"/>
        </w:rPr>
        <w:t>  2.</w:t>
      </w:r>
      <w:r>
        <w:rPr>
          <w:rFonts w:hint="eastAsia" w:ascii="仿宋_GB2312" w:hAnsi="宋体" w:eastAsia="仿宋_GB2312"/>
          <w:b w:val="0"/>
          <w:bCs/>
          <w:color w:val="auto"/>
          <w:sz w:val="30"/>
          <w:szCs w:val="30"/>
          <w:u w:val="none"/>
        </w:rPr>
        <w:t xml:space="preserve"> </w:t>
      </w:r>
      <w:r>
        <w:rPr>
          <w:rFonts w:hint="eastAsia" w:ascii="仿宋_GB2312" w:hAnsi="宋体" w:eastAsia="仿宋_GB2312" w:cs="宋体"/>
          <w:b w:val="0"/>
          <w:bCs/>
          <w:color w:val="auto"/>
          <w:kern w:val="0"/>
          <w:sz w:val="28"/>
          <w:szCs w:val="28"/>
          <w:u w:val="none"/>
        </w:rPr>
        <w:t>主持</w:t>
      </w:r>
      <w:r>
        <w:rPr>
          <w:rFonts w:ascii="仿宋_GB2312" w:hAnsi="宋体" w:eastAsia="仿宋_GB2312" w:cs="宋体"/>
          <w:b w:val="0"/>
          <w:bCs/>
          <w:color w:val="auto"/>
          <w:kern w:val="0"/>
          <w:sz w:val="28"/>
          <w:szCs w:val="28"/>
          <w:u w:val="none"/>
        </w:rPr>
        <w:t>1</w:t>
      </w:r>
      <w:r>
        <w:rPr>
          <w:rFonts w:hint="eastAsia" w:ascii="仿宋_GB2312" w:hAnsi="宋体" w:eastAsia="仿宋_GB2312" w:cs="宋体"/>
          <w:b w:val="0"/>
          <w:bCs/>
          <w:color w:val="auto"/>
          <w:kern w:val="0"/>
          <w:sz w:val="28"/>
          <w:szCs w:val="28"/>
          <w:u w:val="none"/>
        </w:rPr>
        <w:t>项省级项目并取得阶段性成果；或主持</w:t>
      </w:r>
      <w:r>
        <w:rPr>
          <w:rFonts w:ascii="仿宋_GB2312" w:hAnsi="宋体" w:eastAsia="仿宋_GB2312" w:cs="宋体"/>
          <w:b w:val="0"/>
          <w:bCs/>
          <w:color w:val="auto"/>
          <w:kern w:val="0"/>
          <w:sz w:val="28"/>
          <w:szCs w:val="28"/>
          <w:u w:val="none"/>
        </w:rPr>
        <w:t>2</w:t>
      </w:r>
      <w:r>
        <w:rPr>
          <w:rFonts w:hint="eastAsia" w:ascii="仿宋_GB2312" w:hAnsi="宋体" w:eastAsia="仿宋_GB2312" w:cs="宋体"/>
          <w:b w:val="0"/>
          <w:bCs/>
          <w:color w:val="auto"/>
          <w:kern w:val="0"/>
          <w:sz w:val="28"/>
          <w:szCs w:val="28"/>
          <w:u w:val="none"/>
        </w:rPr>
        <w:t>项厅级项目，</w:t>
      </w:r>
      <w:r>
        <w:rPr>
          <w:rFonts w:hint="eastAsia" w:ascii="仿宋_GB2312" w:hAnsi="宋体" w:eastAsia="仿宋_GB2312"/>
          <w:b w:val="0"/>
          <w:bCs/>
          <w:color w:val="auto"/>
          <w:sz w:val="30"/>
          <w:szCs w:val="30"/>
          <w:u w:val="none"/>
        </w:rPr>
        <w:t>其中</w:t>
      </w:r>
      <w:r>
        <w:rPr>
          <w:rFonts w:ascii="仿宋_GB2312" w:hAnsi="宋体" w:eastAsia="仿宋_GB2312"/>
          <w:b w:val="0"/>
          <w:bCs/>
          <w:color w:val="auto"/>
          <w:sz w:val="30"/>
          <w:szCs w:val="30"/>
          <w:u w:val="none"/>
        </w:rPr>
        <w:t>1</w:t>
      </w:r>
      <w:r>
        <w:rPr>
          <w:rFonts w:hint="eastAsia" w:ascii="仿宋_GB2312" w:hAnsi="宋体" w:eastAsia="仿宋_GB2312"/>
          <w:b w:val="0"/>
          <w:bCs/>
          <w:color w:val="auto"/>
          <w:sz w:val="30"/>
          <w:szCs w:val="30"/>
          <w:u w:val="none"/>
        </w:rPr>
        <w:t>项已经完成结题。</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（五）论文、著作条件</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任现职期间，公开发表、出版本专业较高水平的论文、著作，具备下列条件之一：</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1.独立撰写学术专著1部，或主编国家级规划教材（排名前4）</w:t>
      </w:r>
      <w:r>
        <w:rPr>
          <w:rFonts w:hint="eastAsia" w:ascii="仿宋_GB2312" w:eastAsia="仿宋_GB2312"/>
          <w:b w:val="0"/>
          <w:bCs/>
          <w:color w:val="auto"/>
          <w:sz w:val="28"/>
          <w:szCs w:val="28"/>
          <w:u w:val="none"/>
        </w:rPr>
        <w:t>，或主编省级规划教材（排名第2）</w:t>
      </w:r>
      <w:r>
        <w:rPr>
          <w:rFonts w:hint="eastAsia" w:ascii="仿宋_GB2312" w:hAnsi="宋体" w:eastAsia="仿宋_GB2312" w:cs="宋体"/>
          <w:b w:val="0"/>
          <w:bCs/>
          <w:color w:val="auto"/>
          <w:kern w:val="0"/>
          <w:sz w:val="28"/>
          <w:szCs w:val="28"/>
          <w:u w:val="none"/>
        </w:rPr>
        <w:t>，且本人撰写部分汉字15万字以上。</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2.合作（排名第一）撰写学术著作1部（本人撰写部分汉字5万字以上）和发表学术论文2篇以上，其中1篇在</w:t>
      </w:r>
      <w:r>
        <w:rPr>
          <w:rFonts w:hint="eastAsia" w:ascii="仿宋_GB2312" w:eastAsia="仿宋_GB2312"/>
          <w:b w:val="0"/>
          <w:bCs/>
          <w:color w:val="auto"/>
          <w:sz w:val="28"/>
          <w:szCs w:val="28"/>
          <w:u w:val="none"/>
        </w:rPr>
        <w:t>权威期刊</w:t>
      </w:r>
      <w:r>
        <w:rPr>
          <w:rFonts w:hint="eastAsia" w:ascii="仿宋_GB2312" w:hAnsi="宋体" w:eastAsia="仿宋_GB2312" w:cs="宋体"/>
          <w:b w:val="0"/>
          <w:bCs/>
          <w:color w:val="auto"/>
          <w:kern w:val="0"/>
          <w:sz w:val="28"/>
          <w:szCs w:val="28"/>
          <w:u w:val="none"/>
        </w:rPr>
        <w:t>发表。</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3.发表学术论文6篇，</w:t>
      </w:r>
      <w:r>
        <w:rPr>
          <w:rFonts w:hint="eastAsia" w:ascii="仿宋_GB2312" w:eastAsia="仿宋_GB2312"/>
          <w:b w:val="0"/>
          <w:bCs/>
          <w:color w:val="auto"/>
          <w:sz w:val="28"/>
          <w:szCs w:val="28"/>
          <w:u w:val="none"/>
        </w:rPr>
        <w:t>其中权威期刊论文</w:t>
      </w:r>
      <w:r>
        <w:rPr>
          <w:rFonts w:hint="eastAsia" w:ascii="仿宋_GB2312" w:hAnsi="宋体" w:eastAsia="仿宋_GB2312" w:cs="宋体"/>
          <w:b w:val="0"/>
          <w:bCs/>
          <w:color w:val="auto"/>
          <w:kern w:val="0"/>
          <w:sz w:val="28"/>
          <w:szCs w:val="28"/>
          <w:u w:val="none"/>
        </w:rPr>
        <w:t>3篇。</w:t>
      </w:r>
    </w:p>
    <w:p>
      <w:pPr>
        <w:widowControl/>
        <w:spacing w:before="156" w:beforeLines="50" w:after="156" w:afterLines="50" w:line="560" w:lineRule="exact"/>
        <w:ind w:firstLine="548" w:firstLineChars="196"/>
        <w:outlineLvl w:val="0"/>
        <w:rPr>
          <w:rFonts w:ascii="仿宋_GB2312" w:hAnsi="宋体" w:eastAsia="仿宋_GB2312" w:cs="宋体"/>
          <w:b w:val="0"/>
          <w:bCs/>
          <w:color w:val="auto"/>
          <w:kern w:val="36"/>
          <w:sz w:val="28"/>
          <w:szCs w:val="28"/>
          <w:u w:val="none"/>
        </w:rPr>
      </w:pPr>
      <w:r>
        <w:rPr>
          <w:rFonts w:hint="eastAsia" w:ascii="仿宋_GB2312" w:hAnsi="宋体" w:eastAsia="仿宋_GB2312" w:cs="宋体"/>
          <w:b w:val="0"/>
          <w:bCs/>
          <w:color w:val="auto"/>
          <w:kern w:val="36"/>
          <w:sz w:val="28"/>
          <w:szCs w:val="28"/>
          <w:u w:val="none"/>
        </w:rPr>
        <w:t>三、馆员</w:t>
      </w:r>
    </w:p>
    <w:p>
      <w:pPr>
        <w:spacing w:before="50" w:after="156" w:afterLines="50" w:line="560" w:lineRule="exact"/>
        <w:ind w:firstLine="560" w:firstLineChars="200"/>
        <w:rPr>
          <w:rFonts w:ascii="仿宋_GB2312" w:eastAsia="仿宋_GB2312"/>
          <w:b w:val="0"/>
          <w:bCs/>
          <w:color w:val="auto"/>
          <w:sz w:val="28"/>
          <w:szCs w:val="28"/>
          <w:u w:val="none"/>
        </w:rPr>
      </w:pPr>
      <w:r>
        <w:rPr>
          <w:rFonts w:hint="eastAsia" w:ascii="仿宋_GB2312" w:hAnsi="宋体" w:eastAsia="仿宋_GB2312" w:cs="仿宋_GB2312"/>
          <w:b w:val="0"/>
          <w:bCs/>
          <w:color w:val="auto"/>
          <w:sz w:val="28"/>
          <w:szCs w:val="28"/>
          <w:u w:val="none"/>
        </w:rPr>
        <w:t>（一）知识水平和专业能力标准</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具有一定的科学文化知识，掌握图书馆学、情报学基础理论和专业技能，了解国内外图书资料专业的发展趋势；具有一定的工作经验和较强的独立工作能力，能参与科研课题研究和独立完成一定难度的专业工作，取得较好的业绩；能对自己的业务成果进行理论论述，公开发表、出版本专业具有一定水平的论文、著作；具有指导初级专业人员的能力；较熟练运用外语获取信息和进行学术交流；具有良好的职业道德和敬业精神。</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（二）资历条件</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具备下列条件之一：</w:t>
      </w:r>
    </w:p>
    <w:p>
      <w:pPr>
        <w:spacing w:line="560" w:lineRule="exact"/>
        <w:ind w:firstLine="560" w:firstLineChars="200"/>
        <w:rPr>
          <w:rFonts w:ascii="仿宋_GB2312" w:eastAsia="仿宋_GB2312"/>
          <w:b w:val="0"/>
          <w:bCs/>
          <w:color w:val="auto"/>
          <w:sz w:val="28"/>
          <w:szCs w:val="28"/>
          <w:u w:val="none"/>
        </w:rPr>
      </w:pPr>
      <w:r>
        <w:rPr>
          <w:rFonts w:hint="eastAsia" w:ascii="仿宋_GB2312" w:hAnsi="宋体" w:eastAsia="仿宋_GB2312" w:cs="仿宋_GB2312"/>
          <w:b w:val="0"/>
          <w:bCs/>
          <w:color w:val="auto"/>
          <w:sz w:val="28"/>
          <w:szCs w:val="28"/>
          <w:u w:val="none"/>
        </w:rPr>
        <w:t>1．具有博士学位者，来校从事本工作3个月，并经考核合格以上者，可认定馆员。</w:t>
      </w:r>
    </w:p>
    <w:p>
      <w:pPr>
        <w:spacing w:line="560" w:lineRule="exact"/>
        <w:ind w:firstLine="560" w:firstLineChars="200"/>
        <w:rPr>
          <w:rFonts w:ascii="仿宋_GB2312" w:eastAsia="仿宋_GB2312"/>
          <w:b w:val="0"/>
          <w:bCs/>
          <w:color w:val="auto"/>
          <w:sz w:val="28"/>
          <w:szCs w:val="28"/>
          <w:u w:val="none"/>
        </w:rPr>
      </w:pPr>
      <w:r>
        <w:rPr>
          <w:rFonts w:hint="eastAsia" w:ascii="仿宋_GB2312" w:hAnsi="宋体" w:eastAsia="仿宋_GB2312" w:cs="仿宋_GB2312"/>
          <w:b w:val="0"/>
          <w:bCs/>
          <w:color w:val="auto"/>
          <w:sz w:val="28"/>
          <w:szCs w:val="28"/>
          <w:u w:val="none"/>
        </w:rPr>
        <w:t>2．取得硕士学位后从事图书资料工作满3年，可认定馆员。</w:t>
      </w:r>
    </w:p>
    <w:p>
      <w:pPr>
        <w:spacing w:line="560" w:lineRule="exact"/>
        <w:ind w:firstLine="560" w:firstLineChars="200"/>
        <w:rPr>
          <w:rFonts w:ascii="仿宋_GB2312" w:eastAsia="仿宋_GB2312"/>
          <w:b w:val="0"/>
          <w:bCs/>
          <w:color w:val="auto"/>
          <w:sz w:val="28"/>
          <w:szCs w:val="28"/>
          <w:u w:val="none"/>
        </w:rPr>
      </w:pPr>
      <w:r>
        <w:rPr>
          <w:rFonts w:hint="eastAsia" w:ascii="仿宋_GB2312" w:hAnsi="宋体" w:eastAsia="仿宋_GB2312" w:cs="仿宋_GB2312"/>
          <w:b w:val="0"/>
          <w:bCs/>
          <w:color w:val="auto"/>
          <w:sz w:val="28"/>
          <w:szCs w:val="28"/>
          <w:u w:val="none"/>
        </w:rPr>
        <w:t>3．具有硕士学位、从事图书资料工作满2年，或获得硕士学位前后从事专业技术工作累计满3年，可申报馆员。</w:t>
      </w:r>
    </w:p>
    <w:p>
      <w:pPr>
        <w:spacing w:line="560" w:lineRule="exact"/>
        <w:ind w:firstLine="560" w:firstLineChars="200"/>
        <w:rPr>
          <w:rFonts w:ascii="仿宋_GB2312" w:eastAsia="仿宋_GB2312"/>
          <w:b w:val="0"/>
          <w:bCs/>
          <w:color w:val="auto"/>
          <w:sz w:val="28"/>
          <w:szCs w:val="28"/>
          <w:u w:val="none"/>
        </w:rPr>
      </w:pPr>
      <w:r>
        <w:rPr>
          <w:rFonts w:hint="eastAsia" w:ascii="仿宋_GB2312" w:hAnsi="宋体" w:eastAsia="仿宋_GB2312" w:cs="仿宋_GB2312"/>
          <w:b w:val="0"/>
          <w:bCs/>
          <w:color w:val="auto"/>
          <w:sz w:val="28"/>
          <w:szCs w:val="28"/>
          <w:u w:val="none"/>
        </w:rPr>
        <w:t>4．具有大学本科学历或学士学位，从事本专业技术工作满5年，可申报馆员。</w:t>
      </w:r>
    </w:p>
    <w:p>
      <w:pPr>
        <w:widowControl/>
        <w:tabs>
          <w:tab w:val="left" w:pos="709"/>
        </w:tabs>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（三）专业技术工作经历条件</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任现职期间，具备所在岗位的下列条件：</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1.文献信息服务岗位</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（1）在文献信息开发与服务中发挥积极作用，撰写工作小结。</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（2）参与专题文献信息编制和专题数据库建设工作，撰写专题文献信息综述。</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（3）熟悉各类信息资源，了解各种文献信息服务内容，提供优质服务。</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2.文献采编岗位</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（1）熟悉馆藏文献情况，掌握本馆读者结构和阅读需求，主要参与制定或修订文献采访、编目工作规章制度，在文献体系建设中发挥重要作用。</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（2）了解文献分类法、主题法及编目规则等，能胜任文献标引工作。</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（3）掌握文献分编工作流程，独立完成文献分类、编目工作。</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3.读者服务岗位</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（1）熟悉馆藏文献布局，了解读者阅读需求; 制定借阅方案，组织开展阅读推广服务。</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（2）参与读者调研，分析读者阅读倾向，开展阅读指导，撰写读者阅读调研分析报告。</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（3）使用各类工具书及文献检索方法，为读者提供一般性参考咨询服务。</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4.信息技术应用与服务岗位</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（1）参与制定本单位信息技术应用开发工作方案。</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（2）掌握计算机、网络、信息等现代化技术，并应用到图书馆工作中，服务效果好。</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（3）承担完成本单位图书业务自动化系统应用、网络安全维护及网站发布等工作。参与图书馆现代化技术分析、评估和维护工作。</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（四）业绩成果条件</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任现职期间，具备下列条件之一：</w:t>
      </w:r>
    </w:p>
    <w:p>
      <w:pPr>
        <w:widowControl/>
        <w:spacing w:before="156" w:beforeLines="50" w:after="156" w:afterLines="50" w:line="560" w:lineRule="exact"/>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  1.主持或参与校级及以上课题一项。</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r>
        <w:rPr>
          <w:rFonts w:hint="eastAsia" w:ascii="仿宋_GB2312" w:hAnsi="宋体" w:eastAsia="仿宋_GB2312" w:cs="宋体"/>
          <w:b w:val="0"/>
          <w:bCs/>
          <w:color w:val="auto"/>
          <w:kern w:val="0"/>
          <w:sz w:val="28"/>
          <w:szCs w:val="28"/>
          <w:u w:val="none"/>
        </w:rPr>
        <w:t>2.发表学术论文2篇。</w:t>
      </w:r>
    </w:p>
    <w:p>
      <w:pPr>
        <w:pStyle w:val="17"/>
        <w:shd w:val="clear" w:color="auto" w:fill="FFFFFF"/>
        <w:spacing w:before="156" w:beforeLines="50" w:beforeAutospacing="0" w:after="156" w:afterLines="50" w:afterAutospacing="0" w:line="560" w:lineRule="exact"/>
        <w:jc w:val="center"/>
        <w:rPr>
          <w:rFonts w:ascii="仿宋_GB2312" w:eastAsia="仿宋_GB2312"/>
          <w:b w:val="0"/>
          <w:bCs/>
          <w:color w:val="auto"/>
          <w:sz w:val="28"/>
          <w:szCs w:val="28"/>
          <w:u w:val="none"/>
        </w:rPr>
      </w:pPr>
      <w:r>
        <w:rPr>
          <w:rFonts w:hint="eastAsia" w:ascii="仿宋_GB2312" w:eastAsia="仿宋_GB2312"/>
          <w:b w:val="0"/>
          <w:bCs/>
          <w:color w:val="auto"/>
          <w:sz w:val="28"/>
          <w:szCs w:val="28"/>
          <w:u w:val="none"/>
        </w:rPr>
        <w:t>第三章  附则</w:t>
      </w:r>
    </w:p>
    <w:p>
      <w:pPr>
        <w:jc w:val="left"/>
        <w:rPr>
          <w:rFonts w:ascii="仿宋_GB2312" w:hAnsi="宋体" w:eastAsia="仿宋_GB2312"/>
          <w:b w:val="0"/>
          <w:bCs/>
          <w:color w:val="auto"/>
          <w:sz w:val="28"/>
          <w:szCs w:val="28"/>
          <w:u w:val="none"/>
        </w:rPr>
      </w:pPr>
      <w:r>
        <w:rPr>
          <w:rFonts w:hint="eastAsia" w:ascii="仿宋_GB2312" w:hAnsi="宋体" w:eastAsia="仿宋_GB2312"/>
          <w:b w:val="0"/>
          <w:bCs/>
          <w:color w:val="auto"/>
          <w:sz w:val="28"/>
          <w:szCs w:val="28"/>
          <w:u w:val="none"/>
        </w:rPr>
        <w:t xml:space="preserve">    本标准除特定说明外，相关解释参照《</w:t>
      </w:r>
      <w:r>
        <w:rPr>
          <w:rFonts w:hint="eastAsia" w:ascii="仿宋_GB2312" w:hAnsi="宋体" w:eastAsia="仿宋_GB2312"/>
          <w:b w:val="0"/>
          <w:bCs/>
          <w:color w:val="auto"/>
          <w:sz w:val="28"/>
          <w:szCs w:val="28"/>
          <w:u w:val="none"/>
        </w:rPr>
        <w:t>广东药科大学教学、科研系列职称评审标准</w:t>
      </w:r>
      <w:r>
        <w:rPr>
          <w:rFonts w:hint="eastAsia" w:ascii="仿宋_GB2312" w:eastAsia="仿宋_GB2312"/>
          <w:b w:val="0"/>
          <w:bCs/>
          <w:color w:val="auto"/>
          <w:sz w:val="28"/>
          <w:szCs w:val="28"/>
          <w:u w:val="none"/>
        </w:rPr>
        <w:t>》中的附则说明。</w:t>
      </w:r>
    </w:p>
    <w:p>
      <w:pPr>
        <w:widowControl/>
        <w:spacing w:before="156" w:beforeLines="50" w:after="156" w:afterLines="50" w:line="560" w:lineRule="exact"/>
        <w:ind w:firstLine="560" w:firstLineChars="200"/>
        <w:jc w:val="left"/>
        <w:rPr>
          <w:rFonts w:ascii="仿宋_GB2312" w:hAnsi="宋体" w:eastAsia="仿宋_GB2312" w:cs="宋体"/>
          <w:b w:val="0"/>
          <w:bCs/>
          <w:color w:val="auto"/>
          <w:kern w:val="0"/>
          <w:sz w:val="28"/>
          <w:szCs w:val="28"/>
          <w:u w:val="none"/>
        </w:rPr>
      </w:pPr>
    </w:p>
    <w:sectPr>
      <w:headerReference r:id="rId3" w:type="default"/>
      <w:footerReference r:id="rId4" w:type="default"/>
      <w:pgSz w:w="11906" w:h="16838"/>
      <w:pgMar w:top="1440" w:right="1080" w:bottom="1440" w:left="108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0144477"/>
      <w:docPartObj>
        <w:docPartGallery w:val="autotext"/>
      </w:docPartObj>
    </w:sdtPr>
    <w:sdtContent>
      <w:p>
        <w:pPr>
          <w:pStyle w:val="5"/>
          <w:jc w:val="center"/>
        </w:pPr>
        <w:r>
          <w:rPr>
            <w:rFonts w:hint="eastAsia" w:ascii="仿宋_GB2312" w:eastAsia="仿宋_GB2312"/>
            <w:sz w:val="24"/>
            <w:szCs w:val="24"/>
          </w:rPr>
          <w:fldChar w:fldCharType="begin"/>
        </w:r>
        <w:r>
          <w:rPr>
            <w:rFonts w:hint="eastAsia" w:ascii="仿宋_GB2312" w:eastAsia="仿宋_GB2312"/>
            <w:sz w:val="24"/>
            <w:szCs w:val="24"/>
          </w:rPr>
          <w:instrText xml:space="preserve">PAGE   \* MERGEFORMAT</w:instrText>
        </w:r>
        <w:r>
          <w:rPr>
            <w:rFonts w:hint="eastAsia" w:ascii="仿宋_GB2312" w:eastAsia="仿宋_GB2312"/>
            <w:sz w:val="24"/>
            <w:szCs w:val="24"/>
          </w:rPr>
          <w:fldChar w:fldCharType="separate"/>
        </w:r>
        <w:r>
          <w:rPr>
            <w:rFonts w:ascii="仿宋_GB2312" w:eastAsia="仿宋_GB2312"/>
            <w:sz w:val="24"/>
            <w:szCs w:val="24"/>
            <w:lang w:val="zh-CN" w:eastAsia="zh-CN"/>
          </w:rPr>
          <w:t>-</w:t>
        </w:r>
        <w:r>
          <w:rPr>
            <w:rFonts w:ascii="仿宋_GB2312" w:eastAsia="仿宋_GB2312"/>
            <w:sz w:val="24"/>
            <w:szCs w:val="24"/>
          </w:rPr>
          <w:t xml:space="preserve"> 10 -</w:t>
        </w:r>
        <w:r>
          <w:rPr>
            <w:rFonts w:hint="eastAsia" w:ascii="仿宋_GB2312" w:eastAsia="仿宋_GB2312"/>
            <w:sz w:val="24"/>
            <w:szCs w:val="24"/>
          </w:rP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F9C"/>
    <w:rsid w:val="0000143C"/>
    <w:rsid w:val="000055B9"/>
    <w:rsid w:val="00007452"/>
    <w:rsid w:val="00010BED"/>
    <w:rsid w:val="000272E1"/>
    <w:rsid w:val="000628C3"/>
    <w:rsid w:val="000A582F"/>
    <w:rsid w:val="000B3721"/>
    <w:rsid w:val="000C3098"/>
    <w:rsid w:val="000D67FC"/>
    <w:rsid w:val="000D761E"/>
    <w:rsid w:val="00107F04"/>
    <w:rsid w:val="0011109E"/>
    <w:rsid w:val="001247C7"/>
    <w:rsid w:val="00127A28"/>
    <w:rsid w:val="00141A5D"/>
    <w:rsid w:val="0016170E"/>
    <w:rsid w:val="001674B1"/>
    <w:rsid w:val="0017613C"/>
    <w:rsid w:val="001979F8"/>
    <w:rsid w:val="0021411B"/>
    <w:rsid w:val="002150D5"/>
    <w:rsid w:val="0023737C"/>
    <w:rsid w:val="0024492B"/>
    <w:rsid w:val="0025576F"/>
    <w:rsid w:val="00255D46"/>
    <w:rsid w:val="00256CB4"/>
    <w:rsid w:val="002733C3"/>
    <w:rsid w:val="0028346E"/>
    <w:rsid w:val="002A2A59"/>
    <w:rsid w:val="002A2FBC"/>
    <w:rsid w:val="002D4332"/>
    <w:rsid w:val="002E582F"/>
    <w:rsid w:val="003143FA"/>
    <w:rsid w:val="003355BC"/>
    <w:rsid w:val="003447B6"/>
    <w:rsid w:val="00350DEB"/>
    <w:rsid w:val="00362393"/>
    <w:rsid w:val="00366C83"/>
    <w:rsid w:val="003829A7"/>
    <w:rsid w:val="00393F51"/>
    <w:rsid w:val="003A64E7"/>
    <w:rsid w:val="003C1F29"/>
    <w:rsid w:val="003C3817"/>
    <w:rsid w:val="003D0795"/>
    <w:rsid w:val="003F275F"/>
    <w:rsid w:val="004114DE"/>
    <w:rsid w:val="00411EC1"/>
    <w:rsid w:val="004212EC"/>
    <w:rsid w:val="00456C47"/>
    <w:rsid w:val="0046457B"/>
    <w:rsid w:val="0047274E"/>
    <w:rsid w:val="00505779"/>
    <w:rsid w:val="00520840"/>
    <w:rsid w:val="00522E40"/>
    <w:rsid w:val="00527C20"/>
    <w:rsid w:val="0053625F"/>
    <w:rsid w:val="005709D6"/>
    <w:rsid w:val="00582785"/>
    <w:rsid w:val="005A2C6F"/>
    <w:rsid w:val="005B2F4F"/>
    <w:rsid w:val="005B579E"/>
    <w:rsid w:val="005B6FFA"/>
    <w:rsid w:val="00622AA9"/>
    <w:rsid w:val="0064705C"/>
    <w:rsid w:val="00661916"/>
    <w:rsid w:val="006774B4"/>
    <w:rsid w:val="006942FC"/>
    <w:rsid w:val="006A36DF"/>
    <w:rsid w:val="006C3FD9"/>
    <w:rsid w:val="007E1241"/>
    <w:rsid w:val="007E6241"/>
    <w:rsid w:val="007F2656"/>
    <w:rsid w:val="007F4474"/>
    <w:rsid w:val="007F7709"/>
    <w:rsid w:val="00813124"/>
    <w:rsid w:val="00813346"/>
    <w:rsid w:val="008360F8"/>
    <w:rsid w:val="008524F7"/>
    <w:rsid w:val="008539C6"/>
    <w:rsid w:val="0086352D"/>
    <w:rsid w:val="00891749"/>
    <w:rsid w:val="008951AF"/>
    <w:rsid w:val="008A2B89"/>
    <w:rsid w:val="00913202"/>
    <w:rsid w:val="009351C1"/>
    <w:rsid w:val="00943595"/>
    <w:rsid w:val="0094638B"/>
    <w:rsid w:val="0095644A"/>
    <w:rsid w:val="009742CA"/>
    <w:rsid w:val="00981D65"/>
    <w:rsid w:val="00985D59"/>
    <w:rsid w:val="00994E76"/>
    <w:rsid w:val="009B0790"/>
    <w:rsid w:val="009B4638"/>
    <w:rsid w:val="009E2267"/>
    <w:rsid w:val="009E530B"/>
    <w:rsid w:val="009F3466"/>
    <w:rsid w:val="00A10FF2"/>
    <w:rsid w:val="00A156A3"/>
    <w:rsid w:val="00A44BFF"/>
    <w:rsid w:val="00A52EE3"/>
    <w:rsid w:val="00A55379"/>
    <w:rsid w:val="00A62038"/>
    <w:rsid w:val="00A64FD6"/>
    <w:rsid w:val="00AB4407"/>
    <w:rsid w:val="00AE6D1A"/>
    <w:rsid w:val="00AF0340"/>
    <w:rsid w:val="00AF0A82"/>
    <w:rsid w:val="00AF75E3"/>
    <w:rsid w:val="00AF7905"/>
    <w:rsid w:val="00B14D7B"/>
    <w:rsid w:val="00B42400"/>
    <w:rsid w:val="00B45ADC"/>
    <w:rsid w:val="00B7134F"/>
    <w:rsid w:val="00B85E19"/>
    <w:rsid w:val="00B924F3"/>
    <w:rsid w:val="00B924FB"/>
    <w:rsid w:val="00BC29F1"/>
    <w:rsid w:val="00BD6585"/>
    <w:rsid w:val="00C14484"/>
    <w:rsid w:val="00C17CE3"/>
    <w:rsid w:val="00C31D43"/>
    <w:rsid w:val="00C32903"/>
    <w:rsid w:val="00C46ACB"/>
    <w:rsid w:val="00C854C1"/>
    <w:rsid w:val="00CA5231"/>
    <w:rsid w:val="00CC719F"/>
    <w:rsid w:val="00CE6F9C"/>
    <w:rsid w:val="00CF0531"/>
    <w:rsid w:val="00CF69EB"/>
    <w:rsid w:val="00CF7998"/>
    <w:rsid w:val="00D06515"/>
    <w:rsid w:val="00D113E9"/>
    <w:rsid w:val="00D1565A"/>
    <w:rsid w:val="00D521C7"/>
    <w:rsid w:val="00D60075"/>
    <w:rsid w:val="00D65461"/>
    <w:rsid w:val="00D709F5"/>
    <w:rsid w:val="00D90133"/>
    <w:rsid w:val="00D901B0"/>
    <w:rsid w:val="00D930C8"/>
    <w:rsid w:val="00DC3823"/>
    <w:rsid w:val="00DD2477"/>
    <w:rsid w:val="00DF5DF4"/>
    <w:rsid w:val="00E44DCB"/>
    <w:rsid w:val="00E67185"/>
    <w:rsid w:val="00E85C7A"/>
    <w:rsid w:val="00E96C5D"/>
    <w:rsid w:val="00EC2EC9"/>
    <w:rsid w:val="00ED7B50"/>
    <w:rsid w:val="00F06B40"/>
    <w:rsid w:val="00F10C04"/>
    <w:rsid w:val="00F118D3"/>
    <w:rsid w:val="00F1650D"/>
    <w:rsid w:val="00F17AF3"/>
    <w:rsid w:val="00F80E6C"/>
    <w:rsid w:val="00F80EEE"/>
    <w:rsid w:val="00FB6C04"/>
    <w:rsid w:val="00FC3F03"/>
    <w:rsid w:val="00FC4260"/>
    <w:rsid w:val="084A3415"/>
    <w:rsid w:val="0F960447"/>
    <w:rsid w:val="115D6B17"/>
    <w:rsid w:val="13FE7192"/>
    <w:rsid w:val="2ABA17B6"/>
    <w:rsid w:val="49D94797"/>
    <w:rsid w:val="55B60CAB"/>
    <w:rsid w:val="564B3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5"/>
    <w:unhideWhenUsed/>
    <w:qFormat/>
    <w:uiPriority w:val="99"/>
    <w:pPr>
      <w:jc w:val="left"/>
    </w:pPr>
    <w:rPr>
      <w:lang w:val="zh-CN" w:eastAsia="zh-CN"/>
    </w:rPr>
  </w:style>
  <w:style w:type="paragraph" w:styleId="4">
    <w:name w:val="Balloon Text"/>
    <w:basedOn w:val="1"/>
    <w:link w:val="11"/>
    <w:unhideWhenUsed/>
    <w:qFormat/>
    <w:uiPriority w:val="99"/>
    <w:rPr>
      <w:sz w:val="18"/>
      <w:szCs w:val="18"/>
      <w:lang w:val="zh-CN" w:eastAsia="zh-CN"/>
    </w:rPr>
  </w:style>
  <w:style w:type="paragraph" w:styleId="5">
    <w:name w:val="footer"/>
    <w:basedOn w:val="1"/>
    <w:link w:val="12"/>
    <w:unhideWhenUsed/>
    <w:uiPriority w:val="99"/>
    <w:pPr>
      <w:tabs>
        <w:tab w:val="center" w:pos="4153"/>
        <w:tab w:val="right" w:pos="8306"/>
      </w:tabs>
      <w:snapToGrid w:val="0"/>
      <w:jc w:val="left"/>
    </w:pPr>
    <w:rPr>
      <w:sz w:val="18"/>
      <w:szCs w:val="18"/>
      <w:lang w:val="zh-CN" w:eastAsia="zh-CN"/>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sz w:val="18"/>
      <w:szCs w:val="18"/>
      <w:lang w:val="zh-CN" w:eastAsia="zh-CN"/>
    </w:rPr>
  </w:style>
  <w:style w:type="character" w:styleId="8">
    <w:name w:val="Strong"/>
    <w:basedOn w:val="7"/>
    <w:qFormat/>
    <w:uiPriority w:val="22"/>
    <w:rPr>
      <w:b/>
      <w:bCs/>
    </w:rPr>
  </w:style>
  <w:style w:type="character" w:styleId="9">
    <w:name w:val="annotation reference"/>
    <w:unhideWhenUsed/>
    <w:qFormat/>
    <w:uiPriority w:val="99"/>
    <w:rPr>
      <w:sz w:val="21"/>
      <w:szCs w:val="21"/>
    </w:rPr>
  </w:style>
  <w:style w:type="character" w:customStyle="1" w:styleId="11">
    <w:name w:val="批注框文本 Char"/>
    <w:link w:val="4"/>
    <w:semiHidden/>
    <w:qFormat/>
    <w:uiPriority w:val="99"/>
    <w:rPr>
      <w:kern w:val="2"/>
      <w:sz w:val="18"/>
      <w:szCs w:val="18"/>
    </w:rPr>
  </w:style>
  <w:style w:type="character" w:customStyle="1" w:styleId="12">
    <w:name w:val="页脚 Char"/>
    <w:link w:val="5"/>
    <w:qFormat/>
    <w:uiPriority w:val="99"/>
    <w:rPr>
      <w:kern w:val="2"/>
      <w:sz w:val="18"/>
      <w:szCs w:val="18"/>
    </w:rPr>
  </w:style>
  <w:style w:type="character" w:customStyle="1" w:styleId="13">
    <w:name w:val="页眉 Char"/>
    <w:link w:val="6"/>
    <w:uiPriority w:val="99"/>
    <w:rPr>
      <w:kern w:val="2"/>
      <w:sz w:val="18"/>
      <w:szCs w:val="18"/>
    </w:rPr>
  </w:style>
  <w:style w:type="character" w:customStyle="1" w:styleId="14">
    <w:name w:val="批注主题 Char"/>
    <w:link w:val="2"/>
    <w:semiHidden/>
    <w:qFormat/>
    <w:uiPriority w:val="99"/>
    <w:rPr>
      <w:b/>
      <w:bCs/>
      <w:kern w:val="2"/>
      <w:sz w:val="21"/>
      <w:szCs w:val="22"/>
    </w:rPr>
  </w:style>
  <w:style w:type="character" w:customStyle="1" w:styleId="15">
    <w:name w:val="批注文字 Char"/>
    <w:link w:val="3"/>
    <w:semiHidden/>
    <w:qFormat/>
    <w:uiPriority w:val="99"/>
    <w:rPr>
      <w:kern w:val="2"/>
      <w:sz w:val="21"/>
      <w:szCs w:val="22"/>
    </w:rPr>
  </w:style>
  <w:style w:type="paragraph" w:styleId="16">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17">
    <w:name w:val="p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Pages>
  <Words>634</Words>
  <Characters>3617</Characters>
  <Lines>30</Lines>
  <Paragraphs>8</Paragraphs>
  <TotalTime>0</TotalTime>
  <ScaleCrop>false</ScaleCrop>
  <LinksUpToDate>false</LinksUpToDate>
  <CharactersWithSpaces>4243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2018-02-02T02:19:00Z</dcterms:created>
  <dc:creator>lenovo</dc:creator>
  <cp:lastModifiedBy>a</cp:lastModifiedBy>
  <cp:lastPrinted>2018-01-19T00:33:00Z</cp:lastPrinted>
  <dcterms:modified xsi:type="dcterms:W3CDTF">2018-05-17T09:09:41Z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